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1.2" w:lineRule="auto"/>
        <w:ind w:right="560"/>
        <w:jc w:val="center"/>
        <w:rPr>
          <w:rFonts w:ascii="Open Sans" w:cs="Open Sans" w:eastAsia="Open Sans" w:hAnsi="Open Sans"/>
        </w:rPr>
      </w:pPr>
      <w:r w:rsidDel="00000000" w:rsidR="00000000" w:rsidRPr="00000000">
        <w:rPr>
          <w:rFonts w:ascii="Open Sans" w:cs="Open Sans" w:eastAsia="Open Sans" w:hAnsi="Open Sans"/>
          <w:b w:val="1"/>
          <w:sz w:val="35"/>
          <w:szCs w:val="35"/>
          <w:rtl w:val="0"/>
        </w:rPr>
        <w:t xml:space="preserve">What's Up With IDDSI &amp; NDD: Full Disclosure!</w:t>
      </w:r>
      <w:r w:rsidDel="00000000" w:rsidR="00000000" w:rsidRPr="00000000">
        <w:rPr>
          <w:rFonts w:ascii="Open Sans" w:cs="Open Sans" w:eastAsia="Open Sans" w:hAnsi="Open Sans"/>
          <w:b w:val="1"/>
          <w:sz w:val="39"/>
          <w:szCs w:val="39"/>
          <w:rtl w:val="0"/>
        </w:rPr>
        <w:t xml:space="preserve"> </w:t>
      </w:r>
      <w:r w:rsidDel="00000000" w:rsidR="00000000" w:rsidRPr="00000000">
        <w:rPr>
          <w:rtl w:val="0"/>
        </w:rPr>
      </w:r>
    </w:p>
    <w:p w:rsidR="00000000" w:rsidDel="00000000" w:rsidP="00000000" w:rsidRDefault="00000000" w:rsidRPr="00000000" w14:paraId="00000002">
      <w:pPr>
        <w:spacing w:after="240" w:before="240" w:line="271.2" w:lineRule="auto"/>
        <w:ind w:right="560"/>
        <w:jc w:val="center"/>
        <w:rPr>
          <w:rFonts w:ascii="Open Sans" w:cs="Open Sans" w:eastAsia="Open Sans" w:hAnsi="Open Sans"/>
          <w:b w:val="1"/>
          <w:color w:val="203329"/>
          <w:sz w:val="24"/>
          <w:szCs w:val="24"/>
        </w:rPr>
      </w:pPr>
      <w:r w:rsidDel="00000000" w:rsidR="00000000" w:rsidRPr="00000000">
        <w:rPr>
          <w:rFonts w:ascii="Open Sans" w:cs="Open Sans" w:eastAsia="Open Sans" w:hAnsi="Open Sans"/>
          <w:b w:val="1"/>
          <w:color w:val="203329"/>
          <w:sz w:val="24"/>
          <w:szCs w:val="24"/>
          <w:rtl w:val="0"/>
        </w:rPr>
        <w:t xml:space="preserve">LET’S DISCUSS SIMILARITIES &amp; WHAT HAS CHANGED</w:t>
      </w:r>
    </w:p>
    <w:p w:rsidR="00000000" w:rsidDel="00000000" w:rsidP="00000000" w:rsidRDefault="00000000" w:rsidRPr="00000000" w14:paraId="00000003">
      <w:pPr>
        <w:spacing w:before="200" w:line="232.8" w:lineRule="auto"/>
        <w:ind w:left="20" w:right="800" w:firstLine="0"/>
        <w:rPr>
          <w:rFonts w:ascii="Open Sans" w:cs="Open Sans" w:eastAsia="Open Sans" w:hAnsi="Open Sans"/>
          <w:b w:val="1"/>
          <w:i w:val="1"/>
          <w:color w:val="203329"/>
          <w:sz w:val="28"/>
          <w:szCs w:val="28"/>
        </w:rPr>
      </w:pPr>
      <w:r w:rsidDel="00000000" w:rsidR="00000000" w:rsidRPr="00000000">
        <w:rPr>
          <w:rFonts w:ascii="Open Sans" w:cs="Open Sans" w:eastAsia="Open Sans" w:hAnsi="Open Sans"/>
          <w:b w:val="1"/>
          <w:i w:val="1"/>
          <w:color w:val="203329"/>
          <w:sz w:val="28"/>
          <w:szCs w:val="28"/>
          <w:rtl w:val="0"/>
        </w:rPr>
        <w:t xml:space="preserve"> </w:t>
      </w:r>
    </w:p>
    <w:p w:rsidR="00000000" w:rsidDel="00000000" w:rsidP="00000000" w:rsidRDefault="00000000" w:rsidRPr="00000000" w14:paraId="00000004">
      <w:pPr>
        <w:spacing w:before="200" w:line="232.8" w:lineRule="auto"/>
        <w:ind w:left="20" w:right="800" w:firstLine="0"/>
        <w:rPr>
          <w:rFonts w:ascii="Open Sans" w:cs="Open Sans" w:eastAsia="Open Sans" w:hAnsi="Open Sans"/>
          <w:b w:val="1"/>
          <w:i w:val="1"/>
          <w:color w:val="203329"/>
          <w:sz w:val="28"/>
          <w:szCs w:val="28"/>
        </w:rPr>
      </w:pPr>
      <w:r w:rsidDel="00000000" w:rsidR="00000000" w:rsidRPr="00000000">
        <w:rPr>
          <w:rFonts w:ascii="Arial Unicode MS" w:cs="Arial Unicode MS" w:eastAsia="Arial Unicode MS" w:hAnsi="Arial Unicode MS"/>
          <w:b w:val="1"/>
          <w:i w:val="1"/>
          <w:color w:val="203329"/>
          <w:sz w:val="28"/>
          <w:szCs w:val="28"/>
          <w:rtl w:val="0"/>
        </w:rPr>
        <w:t xml:space="preserve">Mapping 101: Compare NDD or your diet definitions to  → IDDSI.</w:t>
      </w:r>
    </w:p>
    <w:p w:rsidR="00000000" w:rsidDel="00000000" w:rsidP="00000000" w:rsidRDefault="00000000" w:rsidRPr="00000000" w14:paraId="00000005">
      <w:pPr>
        <w:spacing w:before="200" w:line="232.8" w:lineRule="auto"/>
        <w:ind w:left="720" w:right="800" w:firstLine="0"/>
        <w:rPr>
          <w:rFonts w:ascii="Open Sans" w:cs="Open Sans" w:eastAsia="Open Sans" w:hAnsi="Open Sans"/>
          <w:color w:val="203329"/>
          <w:sz w:val="25"/>
          <w:szCs w:val="25"/>
        </w:rPr>
      </w:pPr>
      <w:r w:rsidDel="00000000" w:rsidR="00000000" w:rsidRPr="00000000">
        <w:rPr>
          <w:rFonts w:ascii="Open Sans" w:cs="Open Sans" w:eastAsia="Open Sans" w:hAnsi="Open Sans"/>
          <w:color w:val="203329"/>
          <w:sz w:val="25"/>
          <w:szCs w:val="25"/>
          <w:rtl w:val="0"/>
        </w:rPr>
        <w:t xml:space="preserve">1.</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5"/>
          <w:szCs w:val="25"/>
          <w:rtl w:val="0"/>
        </w:rPr>
        <w:t xml:space="preserve">Determine where your diet names and what is served fall under the “Current NDD Food Textures” column.</w:t>
      </w:r>
    </w:p>
    <w:p w:rsidR="00000000" w:rsidDel="00000000" w:rsidP="00000000" w:rsidRDefault="00000000" w:rsidRPr="00000000" w14:paraId="00000006">
      <w:pPr>
        <w:spacing w:line="232.8" w:lineRule="auto"/>
        <w:ind w:left="720" w:right="800" w:firstLine="0"/>
        <w:rPr>
          <w:rFonts w:ascii="Open Sans" w:cs="Open Sans" w:eastAsia="Open Sans" w:hAnsi="Open Sans"/>
          <w:color w:val="203329"/>
          <w:sz w:val="25"/>
          <w:szCs w:val="25"/>
        </w:rPr>
      </w:pPr>
      <w:r w:rsidDel="00000000" w:rsidR="00000000" w:rsidRPr="00000000">
        <w:rPr>
          <w:rFonts w:ascii="Open Sans" w:cs="Open Sans" w:eastAsia="Open Sans" w:hAnsi="Open Sans"/>
          <w:color w:val="203329"/>
          <w:sz w:val="25"/>
          <w:szCs w:val="25"/>
          <w:rtl w:val="0"/>
        </w:rPr>
        <w:t xml:space="preserve">2.</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5"/>
          <w:szCs w:val="25"/>
          <w:rtl w:val="0"/>
        </w:rPr>
        <w:t xml:space="preserve">Align the NDD diet name to the IDDSI name by comparing what is recommended or not recommended to be served.</w:t>
      </w:r>
    </w:p>
    <w:p w:rsidR="00000000" w:rsidDel="00000000" w:rsidP="00000000" w:rsidRDefault="00000000" w:rsidRPr="00000000" w14:paraId="00000007">
      <w:pPr>
        <w:spacing w:line="232.8" w:lineRule="auto"/>
        <w:ind w:left="720" w:right="800" w:firstLine="0"/>
        <w:rPr>
          <w:rFonts w:ascii="Open Sans" w:cs="Open Sans" w:eastAsia="Open Sans" w:hAnsi="Open Sans"/>
          <w:color w:val="203329"/>
          <w:sz w:val="25"/>
          <w:szCs w:val="25"/>
        </w:rPr>
      </w:pPr>
      <w:r w:rsidDel="00000000" w:rsidR="00000000" w:rsidRPr="00000000">
        <w:rPr>
          <w:rFonts w:ascii="Open Sans" w:cs="Open Sans" w:eastAsia="Open Sans" w:hAnsi="Open Sans"/>
          <w:color w:val="203329"/>
          <w:sz w:val="25"/>
          <w:szCs w:val="25"/>
          <w:rtl w:val="0"/>
        </w:rPr>
        <w:t xml:space="preserve">3.</w:t>
      </w:r>
      <w:r w:rsidDel="00000000" w:rsidR="00000000" w:rsidRPr="00000000">
        <w:rPr>
          <w:rFonts w:ascii="Open Sans" w:cs="Open Sans" w:eastAsia="Open Sans" w:hAnsi="Open Sans"/>
          <w:color w:val="203329"/>
          <w:sz w:val="14"/>
          <w:szCs w:val="14"/>
          <w:rtl w:val="0"/>
        </w:rPr>
        <w:t xml:space="preserve">     </w:t>
      </w:r>
      <w:r w:rsidDel="00000000" w:rsidR="00000000" w:rsidRPr="00000000">
        <w:rPr>
          <w:rFonts w:ascii="Open Sans" w:cs="Open Sans" w:eastAsia="Open Sans" w:hAnsi="Open Sans"/>
          <w:color w:val="203329"/>
          <w:sz w:val="25"/>
          <w:szCs w:val="25"/>
          <w:rtl w:val="0"/>
        </w:rPr>
        <w:t xml:space="preserve">Consider the descriptions of patient abilities when comparing. Both NDD and IDDSI state what the patient's abilities or difficulties are at each level/diet name.</w:t>
      </w:r>
      <w:r w:rsidDel="00000000" w:rsidR="00000000" w:rsidRPr="00000000">
        <w:rPr>
          <w:rFonts w:ascii="Open Sans" w:cs="Open Sans" w:eastAsia="Open Sans" w:hAnsi="Open Sans"/>
          <w:color w:val="203329"/>
          <w:sz w:val="25"/>
          <w:szCs w:val="25"/>
        </w:rPr>
        <w:drawing>
          <wp:inline distB="114300" distT="114300" distL="114300" distR="114300">
            <wp:extent cx="5943600" cy="3343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before="200" w:line="232.8" w:lineRule="auto"/>
        <w:ind w:right="800"/>
        <w:rPr>
          <w:rFonts w:ascii="Open Sans" w:cs="Open Sans" w:eastAsia="Open Sans" w:hAnsi="Open Sans"/>
          <w:color w:val="203329"/>
          <w:sz w:val="25"/>
          <w:szCs w:val="25"/>
        </w:rPr>
      </w:pPr>
      <w:r w:rsidDel="00000000" w:rsidR="00000000" w:rsidRPr="00000000">
        <w:rPr>
          <w:rFonts w:ascii="Open Sans" w:cs="Open Sans" w:eastAsia="Open Sans" w:hAnsi="Open Sans"/>
          <w:color w:val="203329"/>
          <w:sz w:val="25"/>
          <w:szCs w:val="25"/>
          <w:rtl w:val="0"/>
        </w:rPr>
        <w:t xml:space="preserve"> </w:t>
      </w:r>
    </w:p>
    <w:p w:rsidR="00000000" w:rsidDel="00000000" w:rsidP="00000000" w:rsidRDefault="00000000" w:rsidRPr="00000000" w14:paraId="00000009">
      <w:pPr>
        <w:spacing w:before="200" w:line="232.8" w:lineRule="auto"/>
        <w:ind w:left="20" w:firstLine="0"/>
        <w:rPr>
          <w:rFonts w:ascii="Open Sans" w:cs="Open Sans" w:eastAsia="Open Sans" w:hAnsi="Open Sans"/>
          <w:b w:val="1"/>
          <w:color w:val="6aa84f"/>
          <w:sz w:val="26"/>
          <w:szCs w:val="26"/>
          <w:u w:val="single"/>
        </w:rPr>
      </w:pPr>
      <w:r w:rsidDel="00000000" w:rsidR="00000000" w:rsidRPr="00000000">
        <w:rPr>
          <w:rFonts w:ascii="Arial Unicode MS" w:cs="Arial Unicode MS" w:eastAsia="Arial Unicode MS" w:hAnsi="Arial Unicode MS"/>
          <w:b w:val="1"/>
          <w:sz w:val="26"/>
          <w:szCs w:val="26"/>
          <w:u w:val="single"/>
          <w:rtl w:val="0"/>
        </w:rPr>
        <w:t xml:space="preserve">NDD Level 1 Pureed →  </w:t>
      </w:r>
      <w:r w:rsidDel="00000000" w:rsidR="00000000" w:rsidRPr="00000000">
        <w:rPr>
          <w:rFonts w:ascii="Open Sans" w:cs="Open Sans" w:eastAsia="Open Sans" w:hAnsi="Open Sans"/>
          <w:b w:val="1"/>
          <w:color w:val="6aa84f"/>
          <w:sz w:val="26"/>
          <w:szCs w:val="26"/>
          <w:u w:val="single"/>
          <w:rtl w:val="0"/>
        </w:rPr>
        <w:t xml:space="preserve">IDDSI Level 4 Pureed (GREEN)</w:t>
      </w:r>
    </w:p>
    <w:p w:rsidR="00000000" w:rsidDel="00000000" w:rsidP="00000000" w:rsidRDefault="00000000" w:rsidRPr="00000000" w14:paraId="0000000A">
      <w:pPr>
        <w:spacing w:before="200" w:line="232.8"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Puree is the same name! The texture definition in both NDD and IDDSI are similar. However, IDDSI lists additional objective puree descriptions and provides the testing methods to assure safety of a pureed food product.</w:t>
      </w:r>
    </w:p>
    <w:p w:rsidR="00000000" w:rsidDel="00000000" w:rsidP="00000000" w:rsidRDefault="00000000" w:rsidRPr="00000000" w14:paraId="0000000B">
      <w:pPr>
        <w:spacing w:after="240" w:before="300" w:line="235.2" w:lineRule="auto"/>
        <w:rPr>
          <w:rFonts w:ascii="Open Sans" w:cs="Open Sans" w:eastAsia="Open Sans" w:hAnsi="Open Sans"/>
          <w:b w:val="1"/>
          <w:color w:val="e69138"/>
          <w:sz w:val="26"/>
          <w:szCs w:val="26"/>
          <w:u w:val="single"/>
        </w:rPr>
      </w:pPr>
      <w:r w:rsidDel="00000000" w:rsidR="00000000" w:rsidRPr="00000000">
        <w:rPr>
          <w:rFonts w:ascii="Arial Unicode MS" w:cs="Arial Unicode MS" w:eastAsia="Arial Unicode MS" w:hAnsi="Arial Unicode MS"/>
          <w:b w:val="1"/>
          <w:sz w:val="26"/>
          <w:szCs w:val="26"/>
          <w:u w:val="single"/>
          <w:rtl w:val="0"/>
        </w:rPr>
        <w:t xml:space="preserve">NDD Level 2 Mechanically Altered →</w:t>
      </w:r>
      <w:r w:rsidDel="00000000" w:rsidR="00000000" w:rsidRPr="00000000">
        <w:rPr>
          <w:rFonts w:ascii="Open Sans" w:cs="Open Sans" w:eastAsia="Open Sans" w:hAnsi="Open Sans"/>
          <w:b w:val="1"/>
          <w:color w:val="e69138"/>
          <w:sz w:val="26"/>
          <w:szCs w:val="26"/>
          <w:u w:val="single"/>
          <w:rtl w:val="0"/>
        </w:rPr>
        <w:t xml:space="preserve"> IDDSI Level 5</w:t>
      </w:r>
      <w:r w:rsidDel="00000000" w:rsidR="00000000" w:rsidRPr="00000000">
        <w:rPr>
          <w:rFonts w:ascii="Open Sans" w:cs="Open Sans" w:eastAsia="Open Sans" w:hAnsi="Open Sans"/>
          <w:b w:val="1"/>
          <w:color w:val="e69138"/>
          <w:sz w:val="26"/>
          <w:szCs w:val="26"/>
          <w:rtl w:val="0"/>
        </w:rPr>
        <w:t xml:space="preserve"> </w:t>
      </w:r>
      <w:r w:rsidDel="00000000" w:rsidR="00000000" w:rsidRPr="00000000">
        <w:rPr>
          <w:rFonts w:ascii="Open Sans" w:cs="Open Sans" w:eastAsia="Open Sans" w:hAnsi="Open Sans"/>
          <w:b w:val="1"/>
          <w:color w:val="e69138"/>
          <w:sz w:val="26"/>
          <w:szCs w:val="26"/>
          <w:u w:val="single"/>
          <w:rtl w:val="0"/>
        </w:rPr>
        <w:t xml:space="preserve">Minced &amp; Moist (ORANGE)</w:t>
      </w:r>
    </w:p>
    <w:p w:rsidR="00000000" w:rsidDel="00000000" w:rsidP="00000000" w:rsidRDefault="00000000" w:rsidRPr="00000000" w14:paraId="0000000C">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D">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NDD Level 2 description stated: “</w:t>
      </w:r>
      <w:r w:rsidDel="00000000" w:rsidR="00000000" w:rsidRPr="00000000">
        <w:rPr>
          <w:rFonts w:ascii="Open Sans" w:cs="Open Sans" w:eastAsia="Open Sans" w:hAnsi="Open Sans"/>
          <w:b w:val="1"/>
          <w:rtl w:val="0"/>
        </w:rPr>
        <w:t xml:space="preserve">moist,” “minced,” “cohesive,”</w:t>
      </w:r>
      <w:r w:rsidDel="00000000" w:rsidR="00000000" w:rsidRPr="00000000">
        <w:rPr>
          <w:rFonts w:ascii="Open Sans" w:cs="Open Sans" w:eastAsia="Open Sans" w:hAnsi="Open Sans"/>
          <w:rtl w:val="0"/>
        </w:rPr>
        <w:t xml:space="preserve"> and “</w:t>
      </w:r>
      <w:r w:rsidDel="00000000" w:rsidR="00000000" w:rsidRPr="00000000">
        <w:rPr>
          <w:rFonts w:ascii="Open Sans" w:cs="Open Sans" w:eastAsia="Open Sans" w:hAnsi="Open Sans"/>
          <w:b w:val="1"/>
          <w:rtl w:val="0"/>
        </w:rPr>
        <w:t xml:space="preserve">easily mashed.”</w:t>
      </w:r>
      <w:r w:rsidDel="00000000" w:rsidR="00000000" w:rsidRPr="00000000">
        <w:rPr>
          <w:rFonts w:ascii="Open Sans" w:cs="Open Sans" w:eastAsia="Open Sans" w:hAnsi="Open Sans"/>
          <w:rtl w:val="0"/>
        </w:rPr>
        <w:t xml:space="preserve"> However, the NDD name of “Mechanically Altered” was hard to interpret.</w:t>
      </w:r>
    </w:p>
    <w:p w:rsidR="00000000" w:rsidDel="00000000" w:rsidP="00000000" w:rsidRDefault="00000000" w:rsidRPr="00000000" w14:paraId="0000000E">
      <w:pPr>
        <w:spacing w:line="235.2" w:lineRule="auto"/>
        <w:ind w:left="20" w:firstLine="0"/>
        <w:rPr>
          <w:rFonts w:ascii="Open Sans" w:cs="Open Sans" w:eastAsia="Open Sans" w:hAnsi="Open Sans"/>
          <w:b w:val="1"/>
        </w:rPr>
      </w:pPr>
      <w:r w:rsidDel="00000000" w:rsidR="00000000" w:rsidRPr="00000000">
        <w:rPr>
          <w:rFonts w:ascii="Open Sans" w:cs="Open Sans" w:eastAsia="Open Sans" w:hAnsi="Open Sans"/>
          <w:rtl w:val="0"/>
        </w:rPr>
        <w:t xml:space="preserve">The IDDSI name of </w:t>
      </w:r>
      <w:r w:rsidDel="00000000" w:rsidR="00000000" w:rsidRPr="00000000">
        <w:rPr>
          <w:rFonts w:ascii="Open Sans" w:cs="Open Sans" w:eastAsia="Open Sans" w:hAnsi="Open Sans"/>
          <w:b w:val="1"/>
          <w:rtl w:val="0"/>
        </w:rPr>
        <w:t xml:space="preserve">“Minced &amp; Moist”</w:t>
      </w:r>
      <w:r w:rsidDel="00000000" w:rsidR="00000000" w:rsidRPr="00000000">
        <w:rPr>
          <w:rFonts w:ascii="Open Sans" w:cs="Open Sans" w:eastAsia="Open Sans" w:hAnsi="Open Sans"/>
          <w:rtl w:val="0"/>
        </w:rPr>
        <w:t xml:space="preserve"> is what NDD intended, and it is more descriptive of what the kitchens will actually produce. IDDSI provides exact sizes of food pieces (pediatric and adult) consistent with a safe swallow and based on science. </w:t>
      </w:r>
      <w:r w:rsidDel="00000000" w:rsidR="00000000" w:rsidRPr="00000000">
        <w:rPr>
          <w:rFonts w:ascii="Open Sans" w:cs="Open Sans" w:eastAsia="Open Sans" w:hAnsi="Open Sans"/>
          <w:b w:val="1"/>
          <w:rtl w:val="0"/>
        </w:rPr>
        <w:t xml:space="preserve">Added moisture is a MUST!</w:t>
      </w:r>
    </w:p>
    <w:p w:rsidR="00000000" w:rsidDel="00000000" w:rsidP="00000000" w:rsidRDefault="00000000" w:rsidRPr="00000000" w14:paraId="0000000F">
      <w:pPr>
        <w:spacing w:before="300" w:line="235.2" w:lineRule="auto"/>
        <w:ind w:left="20" w:firstLine="0"/>
        <w:rPr>
          <w:rFonts w:ascii="Open Sans" w:cs="Open Sans" w:eastAsia="Open Sans" w:hAnsi="Open Sans"/>
          <w:b w:val="1"/>
          <w:color w:val="3c78d8"/>
          <w:sz w:val="26"/>
          <w:szCs w:val="26"/>
          <w:u w:val="single"/>
        </w:rPr>
      </w:pPr>
      <w:r w:rsidDel="00000000" w:rsidR="00000000" w:rsidRPr="00000000">
        <w:rPr>
          <w:rFonts w:ascii="Arial Unicode MS" w:cs="Arial Unicode MS" w:eastAsia="Arial Unicode MS" w:hAnsi="Arial Unicode MS"/>
          <w:b w:val="1"/>
          <w:sz w:val="26"/>
          <w:szCs w:val="26"/>
          <w:u w:val="single"/>
          <w:rtl w:val="0"/>
        </w:rPr>
        <w:t xml:space="preserve">NDD Level 3 Dysphagia Advanced → </w:t>
      </w:r>
      <w:r w:rsidDel="00000000" w:rsidR="00000000" w:rsidRPr="00000000">
        <w:rPr>
          <w:rFonts w:ascii="Open Sans" w:cs="Open Sans" w:eastAsia="Open Sans" w:hAnsi="Open Sans"/>
          <w:b w:val="1"/>
          <w:color w:val="3c78d8"/>
          <w:sz w:val="26"/>
          <w:szCs w:val="26"/>
          <w:u w:val="single"/>
          <w:rtl w:val="0"/>
        </w:rPr>
        <w:t xml:space="preserve">IDDSI Level 6</w:t>
      </w:r>
      <w:r w:rsidDel="00000000" w:rsidR="00000000" w:rsidRPr="00000000">
        <w:rPr>
          <w:rFonts w:ascii="Open Sans" w:cs="Open Sans" w:eastAsia="Open Sans" w:hAnsi="Open Sans"/>
          <w:b w:val="1"/>
          <w:color w:val="3c78d8"/>
          <w:sz w:val="26"/>
          <w:szCs w:val="26"/>
          <w:rtl w:val="0"/>
        </w:rPr>
        <w:t xml:space="preserve"> </w:t>
      </w:r>
      <w:r w:rsidDel="00000000" w:rsidR="00000000" w:rsidRPr="00000000">
        <w:rPr>
          <w:rFonts w:ascii="Open Sans" w:cs="Open Sans" w:eastAsia="Open Sans" w:hAnsi="Open Sans"/>
          <w:b w:val="1"/>
          <w:color w:val="3c78d8"/>
          <w:sz w:val="26"/>
          <w:szCs w:val="26"/>
          <w:u w:val="single"/>
          <w:rtl w:val="0"/>
        </w:rPr>
        <w:t xml:space="preserve">Soft &amp; Bite Sized (Blue)</w:t>
      </w:r>
    </w:p>
    <w:p w:rsidR="00000000" w:rsidDel="00000000" w:rsidP="00000000" w:rsidRDefault="00000000" w:rsidRPr="00000000" w14:paraId="00000010">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1">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NDD description included: “</w:t>
      </w:r>
      <w:r w:rsidDel="00000000" w:rsidR="00000000" w:rsidRPr="00000000">
        <w:rPr>
          <w:rFonts w:ascii="Open Sans" w:cs="Open Sans" w:eastAsia="Open Sans" w:hAnsi="Open Sans"/>
          <w:b w:val="1"/>
          <w:rtl w:val="0"/>
        </w:rPr>
        <w:t xml:space="preserve">bite-sized,” “soft," “moist," “not sticky,"</w:t>
      </w:r>
      <w:r w:rsidDel="00000000" w:rsidR="00000000" w:rsidRPr="00000000">
        <w:rPr>
          <w:rFonts w:ascii="Open Sans" w:cs="Open Sans" w:eastAsia="Open Sans" w:hAnsi="Open Sans"/>
          <w:rtl w:val="0"/>
        </w:rPr>
        <w:t xml:space="preserve"> but bite size guidelines were larger than the typical diameter of an airway.</w:t>
      </w:r>
    </w:p>
    <w:p w:rsidR="00000000" w:rsidDel="00000000" w:rsidP="00000000" w:rsidRDefault="00000000" w:rsidRPr="00000000" w14:paraId="00000012">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b w:val="1"/>
          <w:rtl w:val="0"/>
        </w:rPr>
        <w:t xml:space="preserve">IDDSI Level 6 name, “Soft &amp; Bite Sized,” says it all! </w:t>
      </w:r>
      <w:r w:rsidDel="00000000" w:rsidR="00000000" w:rsidRPr="00000000">
        <w:rPr>
          <w:rFonts w:ascii="Open Sans" w:cs="Open Sans" w:eastAsia="Open Sans" w:hAnsi="Open Sans"/>
          <w:rtl w:val="0"/>
        </w:rPr>
        <w:t xml:space="preserve">And has specific bite-size measurements for safety based on the diameter of the average child and adult trachea.</w:t>
      </w:r>
    </w:p>
    <w:p w:rsidR="00000000" w:rsidDel="00000000" w:rsidP="00000000" w:rsidRDefault="00000000" w:rsidRPr="00000000" w14:paraId="00000013">
      <w:pPr>
        <w:spacing w:before="300" w:lineRule="auto"/>
        <w:ind w:left="40" w:firstLine="0"/>
        <w:rPr>
          <w:rFonts w:ascii="Open Sans" w:cs="Open Sans" w:eastAsia="Open Sans" w:hAnsi="Open Sans"/>
          <w:b w:val="1"/>
          <w:sz w:val="26"/>
          <w:szCs w:val="26"/>
          <w:u w:val="single"/>
        </w:rPr>
      </w:pPr>
      <w:r w:rsidDel="00000000" w:rsidR="00000000" w:rsidRPr="00000000">
        <w:rPr>
          <w:rFonts w:ascii="Open Sans" w:cs="Open Sans" w:eastAsia="Open Sans" w:hAnsi="Open Sans"/>
          <w:b w:val="1"/>
          <w:sz w:val="26"/>
          <w:szCs w:val="26"/>
          <w:u w:val="single"/>
          <w:rtl w:val="0"/>
        </w:rPr>
        <w:t xml:space="preserve">NDD Level 3 Dysphagia Advanced can also map to IDDSI Level 7 Easy to Chew (Black) - a sub-group of the IDDSI Level 7 Regular</w:t>
      </w:r>
    </w:p>
    <w:p w:rsidR="00000000" w:rsidDel="00000000" w:rsidP="00000000" w:rsidRDefault="00000000" w:rsidRPr="00000000" w14:paraId="00000014">
      <w:pPr>
        <w:spacing w:line="235.2" w:lineRule="auto"/>
        <w:ind w:left="20" w:firstLine="0"/>
        <w:rPr>
          <w:rFonts w:ascii="Open Sans" w:cs="Open Sans" w:eastAsia="Open Sans" w:hAnsi="Open Sans"/>
          <w:u w:val="single"/>
        </w:rPr>
      </w:pPr>
      <w:r w:rsidDel="00000000" w:rsidR="00000000" w:rsidRPr="00000000">
        <w:rPr>
          <w:rFonts w:ascii="Open Sans" w:cs="Open Sans" w:eastAsia="Open Sans" w:hAnsi="Open Sans"/>
          <w:u w:val="single"/>
          <w:rtl w:val="0"/>
        </w:rPr>
        <w:t xml:space="preserve"> </w:t>
      </w:r>
    </w:p>
    <w:p w:rsidR="00000000" w:rsidDel="00000000" w:rsidP="00000000" w:rsidRDefault="00000000" w:rsidRPr="00000000" w14:paraId="00000015">
      <w:pPr>
        <w:spacing w:line="235.2"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Softer foods are provided on the Level 7 Easy to Chew level and may align closely to NDD Level 3 or with </w:t>
      </w:r>
      <w:r w:rsidDel="00000000" w:rsidR="00000000" w:rsidRPr="00000000">
        <w:rPr>
          <w:rFonts w:ascii="Open Sans" w:cs="Open Sans" w:eastAsia="Open Sans" w:hAnsi="Open Sans"/>
          <w:b w:val="1"/>
          <w:i w:val="1"/>
          <w:rtl w:val="0"/>
        </w:rPr>
        <w:t xml:space="preserve">your</w:t>
      </w:r>
      <w:r w:rsidDel="00000000" w:rsidR="00000000" w:rsidRPr="00000000">
        <w:rPr>
          <w:rFonts w:ascii="Open Sans" w:cs="Open Sans" w:eastAsia="Open Sans" w:hAnsi="Open Sans"/>
          <w:rtl w:val="0"/>
        </w:rPr>
        <w:t xml:space="preserve"> least restrictive texture modified diet.</w:t>
      </w:r>
    </w:p>
    <w:p w:rsidR="00000000" w:rsidDel="00000000" w:rsidP="00000000" w:rsidRDefault="00000000" w:rsidRPr="00000000" w14:paraId="00000016">
      <w:pPr>
        <w:spacing w:line="235.2"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There are no size restrictions in IDDSI level 7 Easy to Chew,</w:t>
      </w:r>
      <w:r w:rsidDel="00000000" w:rsidR="00000000" w:rsidRPr="00000000">
        <w:rPr>
          <w:rFonts w:ascii="Open Sans" w:cs="Open Sans" w:eastAsia="Open Sans" w:hAnsi="Open Sans"/>
          <w:rtl w:val="0"/>
        </w:rPr>
        <w:t xml:space="preserve"> so the diet does not reduce a choking risk. The safety and suitability of breads &amp; mixed consistencies is assessed on an individual basis. This diet level may be appropriate for those who have dental and/or chewing difficulties without significant dysphagia. It is typically  </w:t>
      </w:r>
      <w:r w:rsidDel="00000000" w:rsidR="00000000" w:rsidRPr="00000000">
        <w:rPr>
          <w:rFonts w:ascii="Open Sans" w:cs="Open Sans" w:eastAsia="Open Sans" w:hAnsi="Open Sans"/>
          <w:b w:val="1"/>
          <w:rtl w:val="0"/>
        </w:rPr>
        <w:t xml:space="preserve">for those who are safe dining independently.</w:t>
      </w:r>
    </w:p>
    <w:p w:rsidR="00000000" w:rsidDel="00000000" w:rsidP="00000000" w:rsidRDefault="00000000" w:rsidRPr="00000000" w14:paraId="00000017">
      <w:pPr>
        <w:spacing w:line="235.2" w:lineRule="auto"/>
        <w:ind w:left="20" w:firstLine="0"/>
        <w:rPr/>
      </w:pPr>
      <w:r w:rsidDel="00000000" w:rsidR="00000000" w:rsidRPr="00000000">
        <w:rPr>
          <w:rFonts w:ascii="Open Sans" w:cs="Open Sans" w:eastAsia="Open Sans" w:hAnsi="Open Sans"/>
          <w:i w:val="1"/>
          <w:sz w:val="45"/>
          <w:szCs w:val="45"/>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